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8D2DEE">
      <w:pPr>
        <w:pStyle w:val="ab"/>
        <w:widowControl/>
        <w:spacing w:before="0" w:beforeAutospacing="0" w:after="0" w:afterAutospacing="0" w:line="450" w:lineRule="atLeast"/>
        <w:jc w:val="center"/>
        <w:rPr>
          <w:sz w:val="21"/>
          <w:szCs w:val="21"/>
        </w:rPr>
      </w:pPr>
      <w:r>
        <w:rPr>
          <w:rFonts w:ascii="宋体" w:hAnsi="宋体" w:cs="宋体"/>
          <w:noProof/>
        </w:rPr>
        <w:drawing>
          <wp:inline distT="0" distB="0" distL="0" distR="0">
            <wp:extent cx="4345472" cy="408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472" cy="4086225"/>
                    </a:xfrm>
                    <a:prstGeom prst="rect">
                      <a:avLst/>
                    </a:prstGeom>
                    <a:noFill/>
                    <a:ln>
                      <a:noFill/>
                    </a:ln>
                  </pic:spPr>
                </pic:pic>
              </a:graphicData>
            </a:graphic>
          </wp:inline>
        </w:drawing>
      </w:r>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sidR="006A29BE" w:rsidRPr="006A29BE">
        <w:rPr>
          <w:rStyle w:val="ae"/>
          <w:rFonts w:ascii="宋体" w:hAnsi="宋体" w:cs="宋体" w:hint="eastAsia"/>
          <w:color w:val="333333"/>
          <w:sz w:val="30"/>
          <w:szCs w:val="30"/>
          <w:u w:val="single"/>
          <w:shd w:val="clear" w:color="auto" w:fill="FFFFFF"/>
        </w:rPr>
        <w:t>武汉工商学院户外标识导视设计制作项目</w:t>
      </w:r>
      <w:r w:rsidRPr="009157E0">
        <w:rPr>
          <w:rStyle w:val="ae"/>
          <w:rFonts w:ascii="宋体" w:hAnsi="宋体" w:cs="宋体" w:hint="eastAsia"/>
          <w:color w:val="333333"/>
          <w:sz w:val="30"/>
          <w:szCs w:val="30"/>
          <w:u w:val="single"/>
          <w:shd w:val="clear" w:color="auto" w:fill="FFFFFF"/>
        </w:rPr>
        <w:t>招标</w:t>
      </w:r>
      <w:r w:rsidR="002128C5">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w:t>
      </w:r>
      <w:r w:rsidR="00315F81">
        <w:rPr>
          <w:rStyle w:val="ae"/>
          <w:rFonts w:ascii="宋体" w:hAnsi="宋体" w:cs="宋体" w:hint="eastAsia"/>
          <w:color w:val="333333"/>
          <w:sz w:val="32"/>
          <w:szCs w:val="32"/>
          <w:u w:val="single"/>
          <w:shd w:val="clear" w:color="auto" w:fill="FFFFFF"/>
        </w:rPr>
        <w:t>5</w:t>
      </w:r>
      <w:r>
        <w:rPr>
          <w:rStyle w:val="ae"/>
          <w:rFonts w:ascii="宋体" w:hAnsi="宋体" w:cs="宋体" w:hint="eastAsia"/>
          <w:color w:val="333333"/>
          <w:sz w:val="32"/>
          <w:szCs w:val="32"/>
          <w:u w:val="single"/>
          <w:shd w:val="clear" w:color="auto" w:fill="FFFFFF"/>
        </w:rPr>
        <w:t>-</w:t>
      </w:r>
      <w:r w:rsidR="006A29BE">
        <w:rPr>
          <w:rStyle w:val="ae"/>
          <w:rFonts w:ascii="宋体" w:hAnsi="宋体" w:cs="宋体" w:hint="eastAsia"/>
          <w:color w:val="333333"/>
          <w:sz w:val="32"/>
          <w:szCs w:val="32"/>
          <w:u w:val="single"/>
          <w:shd w:val="clear" w:color="auto" w:fill="FFFFFF"/>
        </w:rPr>
        <w:t>1</w:t>
      </w:r>
      <w:r w:rsidR="00315F81">
        <w:rPr>
          <w:rStyle w:val="ae"/>
          <w:rFonts w:ascii="宋体" w:hAnsi="宋体" w:cs="宋体" w:hint="eastAsia"/>
          <w:color w:val="333333"/>
          <w:sz w:val="32"/>
          <w:szCs w:val="32"/>
          <w:u w:val="single"/>
          <w:shd w:val="clear" w:color="auto" w:fill="FFFFFF"/>
        </w:rPr>
        <w:t>3</w:t>
      </w:r>
      <w:r>
        <w:rPr>
          <w:rStyle w:val="ae"/>
          <w:rFonts w:ascii="宋体" w:hAnsi="宋体" w:cs="宋体" w:hint="eastAsia"/>
          <w:color w:val="333333"/>
          <w:sz w:val="32"/>
          <w:szCs w:val="32"/>
          <w:u w:val="single"/>
          <w:shd w:val="clear" w:color="auto" w:fill="FFFFFF"/>
        </w:rPr>
        <w:t xml:space="preserve">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w:t>
      </w:r>
      <w:r w:rsidR="00315F81">
        <w:rPr>
          <w:rStyle w:val="ae"/>
          <w:rFonts w:ascii="宋体" w:hAnsi="宋体" w:cs="宋体" w:hint="eastAsia"/>
          <w:color w:val="333333"/>
          <w:sz w:val="52"/>
          <w:szCs w:val="52"/>
          <w:shd w:val="clear" w:color="auto" w:fill="FFFFFF"/>
        </w:rPr>
        <w:t>五</w:t>
      </w:r>
      <w:r>
        <w:rPr>
          <w:rStyle w:val="ae"/>
          <w:rFonts w:ascii="宋体" w:hAnsi="宋体" w:cs="宋体" w:hint="eastAsia"/>
          <w:color w:val="333333"/>
          <w:sz w:val="52"/>
          <w:szCs w:val="52"/>
          <w:shd w:val="clear" w:color="auto" w:fill="FFFFFF"/>
        </w:rPr>
        <w:t>年</w:t>
      </w:r>
      <w:r w:rsidR="006A29BE">
        <w:rPr>
          <w:rStyle w:val="ae"/>
          <w:rFonts w:ascii="宋体" w:hAnsi="宋体" w:cs="宋体" w:hint="eastAsia"/>
          <w:color w:val="333333"/>
          <w:sz w:val="52"/>
          <w:szCs w:val="52"/>
          <w:shd w:val="clear" w:color="auto" w:fill="FFFFFF"/>
        </w:rPr>
        <w:t>五</w:t>
      </w:r>
      <w:r>
        <w:rPr>
          <w:rStyle w:val="ae"/>
          <w:rFonts w:ascii="宋体" w:hAnsi="宋体" w:cs="宋体" w:hint="eastAsia"/>
          <w:color w:val="333333"/>
          <w:sz w:val="52"/>
          <w:szCs w:val="52"/>
          <w:shd w:val="clear" w:color="auto" w:fill="FFFFFF"/>
        </w:rPr>
        <w:t>月</w:t>
      </w: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B2631D" w:rsidRPr="00B2631D">
        <w:rPr>
          <w:rFonts w:ascii="仿宋" w:eastAsia="仿宋" w:hAnsi="仿宋" w:hint="eastAsia"/>
          <w:sz w:val="24"/>
          <w:u w:val="single"/>
        </w:rPr>
        <w:t>户外标识导视设计制作</w:t>
      </w:r>
      <w:r w:rsidRPr="00B2631D">
        <w:rPr>
          <w:rFonts w:ascii="仿宋" w:eastAsia="仿宋" w:hAnsi="仿宋" w:hint="eastAsia"/>
          <w:sz w:val="24"/>
          <w:u w:val="single"/>
        </w:rPr>
        <w:t>项目</w:t>
      </w:r>
      <w:r>
        <w:rPr>
          <w:rFonts w:ascii="仿宋" w:eastAsia="仿宋" w:hAnsi="仿宋" w:hint="eastAsia"/>
          <w:sz w:val="24"/>
        </w:rPr>
        <w:t>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B2631D" w:rsidRPr="00B2631D">
        <w:rPr>
          <w:rFonts w:ascii="仿宋" w:eastAsia="仿宋" w:hAnsi="仿宋" w:hint="eastAsia"/>
          <w:sz w:val="24"/>
          <w:u w:val="single"/>
        </w:rPr>
        <w:t>户外标识导视设计制作项目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202</w:t>
      </w:r>
      <w:r w:rsidR="00315F81">
        <w:rPr>
          <w:rFonts w:ascii="仿宋" w:eastAsia="仿宋" w:hAnsi="仿宋" w:hint="eastAsia"/>
          <w:sz w:val="24"/>
        </w:rPr>
        <w:t>5</w:t>
      </w:r>
      <w:r>
        <w:rPr>
          <w:rFonts w:ascii="仿宋" w:eastAsia="仿宋" w:hAnsi="仿宋" w:hint="eastAsia"/>
          <w:sz w:val="24"/>
        </w:rPr>
        <w:t xml:space="preserve">年 </w:t>
      </w:r>
      <w:r w:rsidR="00575ECF">
        <w:rPr>
          <w:rFonts w:ascii="仿宋" w:eastAsia="仿宋" w:hAnsi="仿宋" w:hint="eastAsia"/>
          <w:sz w:val="24"/>
        </w:rPr>
        <w:t>6</w:t>
      </w:r>
      <w:r>
        <w:rPr>
          <w:rFonts w:ascii="仿宋" w:eastAsia="仿宋" w:hAnsi="仿宋" w:hint="eastAsia"/>
          <w:sz w:val="24"/>
        </w:rPr>
        <w:t xml:space="preserve"> 月 </w:t>
      </w:r>
      <w:r w:rsidR="00575ECF">
        <w:rPr>
          <w:rFonts w:ascii="仿宋" w:eastAsia="仿宋" w:hAnsi="仿宋" w:hint="eastAsia"/>
          <w:sz w:val="24"/>
        </w:rPr>
        <w:t>5</w:t>
      </w:r>
      <w:r>
        <w:rPr>
          <w:rFonts w:ascii="仿宋" w:eastAsia="仿宋" w:hAnsi="仿宋"/>
          <w:sz w:val="24"/>
        </w:rPr>
        <w:t xml:space="preserve"> </w:t>
      </w:r>
      <w:r>
        <w:rPr>
          <w:rFonts w:ascii="仿宋" w:eastAsia="仿宋" w:hAnsi="仿宋" w:hint="eastAsia"/>
          <w:sz w:val="24"/>
        </w:rPr>
        <w:t>日下午</w:t>
      </w:r>
      <w:r w:rsidR="00315F81">
        <w:rPr>
          <w:rFonts w:ascii="仿宋" w:eastAsia="仿宋" w:hAnsi="仿宋" w:hint="eastAsia"/>
          <w:sz w:val="24"/>
        </w:rPr>
        <w:t>4</w:t>
      </w:r>
      <w:r>
        <w:rPr>
          <w:rFonts w:ascii="仿宋" w:eastAsia="仿宋" w:hAnsi="仿宋" w:hint="eastAsia"/>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040D14">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B2631D">
        <w:rPr>
          <w:rFonts w:ascii="仿宋" w:eastAsia="仿宋" w:hAnsi="仿宋" w:hint="eastAsia"/>
          <w:sz w:val="24"/>
          <w:u w:val="single"/>
        </w:rPr>
        <w:t>2</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w:t>
      </w:r>
      <w:r w:rsidR="00315F81">
        <w:rPr>
          <w:rFonts w:ascii="仿宋" w:eastAsia="仿宋" w:hAnsi="仿宋" w:hint="eastAsia"/>
          <w:sz w:val="24"/>
        </w:rPr>
        <w:t xml:space="preserve">   </w:t>
      </w:r>
      <w:r>
        <w:rPr>
          <w:rFonts w:ascii="仿宋" w:eastAsia="仿宋" w:hAnsi="仿宋" w:hint="eastAsia"/>
          <w:sz w:val="24"/>
        </w:rPr>
        <w:t>年</w:t>
      </w:r>
      <w:r w:rsidR="00315F81">
        <w:rPr>
          <w:rFonts w:ascii="仿宋" w:eastAsia="仿宋" w:hAnsi="仿宋" w:hint="eastAsia"/>
          <w:sz w:val="24"/>
        </w:rPr>
        <w:t xml:space="preserve">  </w:t>
      </w:r>
      <w:r>
        <w:rPr>
          <w:rFonts w:ascii="仿宋" w:eastAsia="仿宋" w:hAnsi="仿宋" w:hint="eastAsia"/>
          <w:sz w:val="24"/>
        </w:rPr>
        <w:t>月</w:t>
      </w:r>
      <w:r w:rsidR="00315F81">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sidR="00B2631D">
        <w:rPr>
          <w:rFonts w:ascii="仿宋" w:eastAsia="仿宋" w:hAnsi="仿宋" w:hint="eastAsia"/>
          <w:sz w:val="24"/>
        </w:rPr>
        <w:t>施工完毕经验收合格后支付总货款的90%，验收合格满一年后付清余款。</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315F81">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B2631D">
        <w:rPr>
          <w:rFonts w:ascii="仿宋" w:eastAsia="仿宋" w:hAnsi="仿宋" w:hint="eastAsia"/>
          <w:sz w:val="24"/>
        </w:rPr>
        <w:t>李</w:t>
      </w:r>
      <w:r>
        <w:rPr>
          <w:rFonts w:ascii="仿宋" w:eastAsia="仿宋" w:hAnsi="仿宋" w:hint="eastAsia"/>
          <w:sz w:val="24"/>
        </w:rPr>
        <w:t xml:space="preserve">老师  </w:t>
      </w:r>
      <w:r w:rsidR="00B2631D" w:rsidRPr="00B2631D">
        <w:rPr>
          <w:rFonts w:ascii="仿宋" w:eastAsia="仿宋" w:hAnsi="仿宋"/>
          <w:sz w:val="24"/>
        </w:rPr>
        <w:t>15907165614</w:t>
      </w:r>
      <w:r>
        <w:rPr>
          <w:rFonts w:ascii="仿宋" w:eastAsia="仿宋" w:hAnsi="仿宋"/>
          <w:sz w:val="24"/>
        </w:rPr>
        <w:t> </w:t>
      </w:r>
    </w:p>
    <w:p w:rsidR="00315F81" w:rsidRDefault="00315F81">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516597096"/>
      <w:bookmarkStart w:id="2" w:name="_Toc355795126"/>
      <w:bookmarkStart w:id="3" w:name="_Toc311463004"/>
    </w:p>
    <w:bookmarkEnd w:id="0"/>
    <w:bookmarkEnd w:id="1"/>
    <w:bookmarkEnd w:id="2"/>
    <w:bookmarkEnd w:id="3"/>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315F81">
        <w:rPr>
          <w:rFonts w:ascii="仿宋" w:eastAsia="仿宋" w:hAnsi="仿宋" w:hint="eastAsia"/>
          <w:sz w:val="24"/>
        </w:rPr>
        <w:t>另行通知</w:t>
      </w:r>
      <w:r>
        <w:rPr>
          <w:rFonts w:ascii="仿宋" w:eastAsia="仿宋" w:hAnsi="仿宋" w:hint="eastAsia"/>
          <w:sz w:val="24"/>
        </w:rPr>
        <w:t>。</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lastRenderedPageBreak/>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七</w:t>
      </w:r>
      <w:r w:rsidR="00920784">
        <w:rPr>
          <w:rFonts w:ascii="仿宋" w:eastAsia="仿宋" w:hAnsi="仿宋" w:hint="eastAsia"/>
          <w:b/>
          <w:sz w:val="24"/>
        </w:rPr>
        <w:t>、投标单位如有任何疑问，可以向我方招标负责人进行咨询。</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920784">
        <w:rPr>
          <w:rFonts w:ascii="仿宋" w:eastAsia="仿宋" w:hAnsi="仿宋" w:hint="eastAsia"/>
          <w:b/>
          <w:sz w:val="24"/>
        </w:rPr>
        <w:t>、武汉工商学院招投标办公室保留此招标文件的解释权。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b/>
          <w:sz w:val="24"/>
        </w:rPr>
      </w:pPr>
    </w:p>
    <w:p w:rsidR="00FF3F7D" w:rsidRDefault="00FF3F7D">
      <w:pPr>
        <w:spacing w:line="440" w:lineRule="exact"/>
        <w:jc w:val="left"/>
        <w:rPr>
          <w:rFonts w:ascii="仿宋" w:eastAsia="仿宋" w:hAnsi="仿宋"/>
          <w:b/>
          <w:sz w:val="24"/>
        </w:rPr>
      </w:pPr>
    </w:p>
    <w:p w:rsidR="00287681" w:rsidRDefault="00287681">
      <w:pPr>
        <w:spacing w:line="440" w:lineRule="exact"/>
        <w:jc w:val="left"/>
        <w:rPr>
          <w:rFonts w:ascii="仿宋" w:eastAsia="仿宋" w:hAnsi="仿宋" w:hint="eastAsia"/>
          <w:b/>
          <w:sz w:val="24"/>
        </w:rPr>
      </w:pPr>
    </w:p>
    <w:p w:rsidR="003B7058" w:rsidRDefault="003B7058" w:rsidP="003B7058">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3B7058" w:rsidRPr="00B2631D" w:rsidRDefault="003B7058" w:rsidP="003B7058">
      <w:pPr>
        <w:spacing w:line="440" w:lineRule="exact"/>
        <w:rPr>
          <w:rFonts w:ascii="仿宋" w:eastAsia="仿宋" w:hAnsi="仿宋"/>
          <w:b/>
          <w:sz w:val="24"/>
        </w:rPr>
      </w:pPr>
      <w:r w:rsidRPr="00B2631D">
        <w:rPr>
          <w:rFonts w:ascii="仿宋" w:eastAsia="仿宋" w:hAnsi="仿宋" w:hint="eastAsia"/>
          <w:b/>
          <w:sz w:val="24"/>
        </w:rPr>
        <w:t>制作清单：</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53"/>
        <w:gridCol w:w="1559"/>
        <w:gridCol w:w="1702"/>
        <w:gridCol w:w="3716"/>
        <w:gridCol w:w="700"/>
      </w:tblGrid>
      <w:tr w:rsidR="003B7058" w:rsidRPr="00B2631D" w:rsidTr="00BB76A9">
        <w:trPr>
          <w:trHeight w:val="528"/>
        </w:trPr>
        <w:tc>
          <w:tcPr>
            <w:tcW w:w="709"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序号</w:t>
            </w:r>
          </w:p>
        </w:tc>
        <w:tc>
          <w:tcPr>
            <w:tcW w:w="1253"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名称</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简图</w:t>
            </w:r>
          </w:p>
        </w:tc>
        <w:tc>
          <w:tcPr>
            <w:tcW w:w="1702"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规格（mm）</w:t>
            </w:r>
          </w:p>
        </w:tc>
        <w:tc>
          <w:tcPr>
            <w:tcW w:w="3716"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工艺</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b/>
                <w:bCs/>
                <w:kern w:val="0"/>
                <w:sz w:val="24"/>
              </w:rPr>
            </w:pPr>
            <w:r w:rsidRPr="00B2631D">
              <w:rPr>
                <w:rFonts w:ascii="仿宋" w:eastAsia="仿宋" w:hAnsi="仿宋" w:cs="宋体" w:hint="eastAsia"/>
                <w:b/>
                <w:bCs/>
                <w:kern w:val="0"/>
                <w:sz w:val="24"/>
              </w:rPr>
              <w:t>数量</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弘德楼</w:t>
            </w:r>
          </w:p>
        </w:tc>
        <w:tc>
          <w:tcPr>
            <w:tcW w:w="1559" w:type="dxa"/>
            <w:shd w:val="clear" w:color="auto" w:fill="auto"/>
            <w:vAlign w:val="center"/>
            <w:hideMark/>
          </w:tcPr>
          <w:p w:rsidR="003B7058" w:rsidRPr="00B2631D" w:rsidRDefault="003B7058" w:rsidP="00BB76A9">
            <w:pPr>
              <w:widowControl/>
              <w:jc w:val="left"/>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59264" behindDoc="0" locked="0" layoutInCell="1" allowOverlap="1">
                  <wp:simplePos x="0" y="0"/>
                  <wp:positionH relativeFrom="column">
                    <wp:posOffset>9525</wp:posOffset>
                  </wp:positionH>
                  <wp:positionV relativeFrom="paragraph">
                    <wp:posOffset>114300</wp:posOffset>
                  </wp:positionV>
                  <wp:extent cx="781050" cy="419100"/>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5200*2400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1.5mm厚不锈钢板激光切割造型，围边焊接成型精工打磨，表面电镀金色，贴附在玻璃表面安装。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和雅楼</w:t>
            </w:r>
          </w:p>
        </w:tc>
        <w:tc>
          <w:tcPr>
            <w:tcW w:w="1559" w:type="dxa"/>
            <w:shd w:val="clear" w:color="auto" w:fill="auto"/>
            <w:vAlign w:val="center"/>
            <w:hideMark/>
          </w:tcPr>
          <w:p w:rsidR="003B7058" w:rsidRPr="00B2631D" w:rsidRDefault="003B7058" w:rsidP="00BB76A9">
            <w:pPr>
              <w:widowControl/>
              <w:jc w:val="left"/>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0288" behindDoc="0" locked="0" layoutInCell="1" allowOverlap="1">
                  <wp:simplePos x="0" y="0"/>
                  <wp:positionH relativeFrom="column">
                    <wp:posOffset>60325</wp:posOffset>
                  </wp:positionH>
                  <wp:positionV relativeFrom="paragraph">
                    <wp:posOffset>55245</wp:posOffset>
                  </wp:positionV>
                  <wp:extent cx="847725" cy="381000"/>
                  <wp:effectExtent l="0" t="0" r="9525"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3500*1600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玉振楼</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1312" behindDoc="0" locked="0" layoutInCell="1" allowOverlap="1">
                  <wp:simplePos x="0" y="0"/>
                  <wp:positionH relativeFrom="column">
                    <wp:posOffset>-63500</wp:posOffset>
                  </wp:positionH>
                  <wp:positionV relativeFrom="paragraph">
                    <wp:posOffset>168910</wp:posOffset>
                  </wp:positionV>
                  <wp:extent cx="857250" cy="34290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3500*1600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1.5mm厚不锈钢板激光切割造型，围边焊接成型精工打磨，表面电镀金色，贴附在玻璃表面安装。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4</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玉振门</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2336" behindDoc="0" locked="0" layoutInCell="1" allowOverlap="1">
                  <wp:simplePos x="0" y="0"/>
                  <wp:positionH relativeFrom="column">
                    <wp:posOffset>320675</wp:posOffset>
                  </wp:positionH>
                  <wp:positionV relativeFrom="paragraph">
                    <wp:posOffset>30480</wp:posOffset>
                  </wp:positionV>
                  <wp:extent cx="219075" cy="561975"/>
                  <wp:effectExtent l="0" t="0" r="9525" b="952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1000*3600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w:t>
            </w:r>
            <w:r>
              <w:rPr>
                <w:rFonts w:ascii="仿宋" w:eastAsia="仿宋" w:hAnsi="仿宋" w:cs="宋体" w:hint="eastAsia"/>
                <w:kern w:val="0"/>
                <w:sz w:val="24"/>
              </w:rPr>
              <w:t>不锈钢板激光切割造型，围边焊接成型精工打磨，表面电镀金色，贴附</w:t>
            </w:r>
            <w:r w:rsidRPr="00B2631D">
              <w:rPr>
                <w:rFonts w:ascii="仿宋" w:eastAsia="仿宋" w:hAnsi="仿宋" w:cs="宋体" w:hint="eastAsia"/>
                <w:kern w:val="0"/>
                <w:sz w:val="24"/>
              </w:rPr>
              <w:t>大理石墙面安装。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玉成门</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1000*3600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w:t>
            </w:r>
            <w:r>
              <w:rPr>
                <w:rFonts w:ascii="仿宋" w:eastAsia="仿宋" w:hAnsi="仿宋" w:cs="宋体" w:hint="eastAsia"/>
                <w:kern w:val="0"/>
                <w:sz w:val="24"/>
              </w:rPr>
              <w:t>不锈钢板激光切割造型，围边焊接成型精工打磨，表面电镀金色，贴附</w:t>
            </w:r>
            <w:r w:rsidRPr="00B2631D">
              <w:rPr>
                <w:rFonts w:ascii="仿宋" w:eastAsia="仿宋" w:hAnsi="仿宋" w:cs="宋体" w:hint="eastAsia"/>
                <w:kern w:val="0"/>
                <w:sz w:val="24"/>
              </w:rPr>
              <w:t>墙面安装。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6</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图书馆</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3360" behindDoc="0" locked="0" layoutInCell="1" allowOverlap="1">
                  <wp:simplePos x="0" y="0"/>
                  <wp:positionH relativeFrom="column">
                    <wp:posOffset>57150</wp:posOffset>
                  </wp:positionH>
                  <wp:positionV relativeFrom="paragraph">
                    <wp:posOffset>200025</wp:posOffset>
                  </wp:positionV>
                  <wp:extent cx="695325" cy="304800"/>
                  <wp:effectExtent l="0" t="0" r="9525"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1800*5400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1.5mm厚不锈钢板激光切割造型，围边焊接成型精工打磨，表面电镀金色，背架立式安装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7</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厚德楼</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4384" behindDoc="0" locked="0" layoutInCell="1" allowOverlap="1">
                  <wp:simplePos x="0" y="0"/>
                  <wp:positionH relativeFrom="column">
                    <wp:posOffset>236220</wp:posOffset>
                  </wp:positionH>
                  <wp:positionV relativeFrom="paragraph">
                    <wp:posOffset>75565</wp:posOffset>
                  </wp:positionV>
                  <wp:extent cx="371475" cy="504825"/>
                  <wp:effectExtent l="0" t="0" r="9525" b="9525"/>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3500*1600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8</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创业港</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5408" behindDoc="0" locked="0" layoutInCell="1" allowOverlap="1">
                  <wp:simplePos x="0" y="0"/>
                  <wp:positionH relativeFrom="column">
                    <wp:posOffset>118745</wp:posOffset>
                  </wp:positionH>
                  <wp:positionV relativeFrom="paragraph">
                    <wp:posOffset>48895</wp:posOffset>
                  </wp:positionV>
                  <wp:extent cx="628650" cy="542925"/>
                  <wp:effectExtent l="0" t="0" r="0" b="9525"/>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800*4200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9</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莲海广场艺术标识</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6432" behindDoc="0" locked="0" layoutInCell="1" allowOverlap="1" wp14:anchorId="30C03C74" wp14:editId="59DC0774">
                  <wp:simplePos x="0" y="0"/>
                  <wp:positionH relativeFrom="column">
                    <wp:posOffset>6350</wp:posOffset>
                  </wp:positionH>
                  <wp:positionV relativeFrom="paragraph">
                    <wp:posOffset>230505</wp:posOffset>
                  </wp:positionV>
                  <wp:extent cx="809625" cy="409575"/>
                  <wp:effectExtent l="0" t="0" r="9525" b="952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3200*1500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1.5mm厚不锈钢板激光切割造型围边焊接成型精工打磨，正面亚克力，里面装户外防水光源发光。立地安装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0</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拓新广场艺术标识</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3200*1500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w:t>
            </w:r>
            <w:r>
              <w:rPr>
                <w:rFonts w:ascii="仿宋" w:eastAsia="仿宋" w:hAnsi="仿宋" w:cs="宋体" w:hint="eastAsia"/>
                <w:kern w:val="0"/>
                <w:sz w:val="24"/>
              </w:rPr>
              <w:t>，</w:t>
            </w:r>
            <w:r w:rsidRPr="00B2631D">
              <w:rPr>
                <w:rFonts w:ascii="仿宋" w:eastAsia="仿宋" w:hAnsi="仿宋" w:cs="宋体" w:hint="eastAsia"/>
                <w:kern w:val="0"/>
                <w:sz w:val="24"/>
              </w:rPr>
              <w:t>正面亚克力，里面装户外防水光源发光。立地安装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1</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花漾小路艺术标识</w:t>
            </w:r>
          </w:p>
        </w:tc>
        <w:tc>
          <w:tcPr>
            <w:tcW w:w="1559" w:type="dxa"/>
            <w:vMerge w:val="restart"/>
            <w:shd w:val="clear" w:color="auto" w:fill="auto"/>
            <w:noWrap/>
            <w:vAlign w:val="center"/>
            <w:hideMark/>
          </w:tcPr>
          <w:p w:rsidR="003B7058" w:rsidRPr="00B2631D" w:rsidRDefault="003B7058" w:rsidP="00BB76A9">
            <w:pPr>
              <w:widowControl/>
              <w:jc w:val="left"/>
              <w:rPr>
                <w:rFonts w:ascii="仿宋" w:eastAsia="仿宋" w:hAnsi="仿宋" w:cs="宋体"/>
                <w:color w:val="000000"/>
                <w:kern w:val="0"/>
                <w:sz w:val="24"/>
              </w:rPr>
            </w:pPr>
            <w:r>
              <w:rPr>
                <w:rFonts w:ascii="仿宋" w:eastAsia="仿宋" w:hAnsi="仿宋" w:cs="宋体"/>
                <w:noProof/>
                <w:color w:val="000000"/>
                <w:kern w:val="0"/>
                <w:sz w:val="24"/>
              </w:rPr>
              <w:drawing>
                <wp:anchor distT="0" distB="0" distL="114300" distR="114300" simplePos="0" relativeHeight="251667456" behindDoc="0" locked="0" layoutInCell="1" allowOverlap="1" wp14:anchorId="6916DAC2" wp14:editId="2CD33AB7">
                  <wp:simplePos x="0" y="0"/>
                  <wp:positionH relativeFrom="column">
                    <wp:posOffset>63500</wp:posOffset>
                  </wp:positionH>
                  <wp:positionV relativeFrom="paragraph">
                    <wp:posOffset>-5080</wp:posOffset>
                  </wp:positionV>
                  <wp:extent cx="709295" cy="88265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929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058" w:rsidRPr="00B2631D" w:rsidRDefault="003B7058" w:rsidP="00BB76A9">
            <w:pPr>
              <w:widowControl/>
              <w:jc w:val="left"/>
              <w:rPr>
                <w:rFonts w:ascii="仿宋" w:eastAsia="仿宋" w:hAnsi="仿宋" w:cs="宋体"/>
                <w:color w:val="000000"/>
                <w:kern w:val="0"/>
                <w:sz w:val="24"/>
              </w:rPr>
            </w:pP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400*760*100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1.5mm厚不锈钢板激光切割造型，剪板折弯，拼装焊接成型，烤漆，内置镀锌管焊接骨架，文字内容丝印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lastRenderedPageBreak/>
              <w:t>1</w:t>
            </w:r>
            <w:r>
              <w:rPr>
                <w:rFonts w:ascii="仿宋" w:eastAsia="仿宋" w:hAnsi="仿宋" w:cs="宋体" w:hint="eastAsia"/>
                <w:kern w:val="0"/>
                <w:sz w:val="24"/>
              </w:rPr>
              <w:t>2</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香远道艺术标识</w:t>
            </w:r>
          </w:p>
        </w:tc>
        <w:tc>
          <w:tcPr>
            <w:tcW w:w="1559" w:type="dxa"/>
            <w:vMerge/>
            <w:vAlign w:val="center"/>
            <w:hideMark/>
          </w:tcPr>
          <w:p w:rsidR="003B7058" w:rsidRPr="00B2631D" w:rsidRDefault="003B7058" w:rsidP="00BB76A9">
            <w:pPr>
              <w:widowControl/>
              <w:jc w:val="left"/>
              <w:rPr>
                <w:rFonts w:ascii="仿宋" w:eastAsia="仿宋" w:hAnsi="仿宋" w:cs="宋体"/>
                <w:color w:val="000000"/>
                <w:kern w:val="0"/>
                <w:sz w:val="24"/>
              </w:rPr>
            </w:pP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400*760*100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1.5mm厚不锈钢板激光切割造型，剪板折弯，拼装焊接成型，烤漆，内置镀锌管焊接骨架，文字内容丝印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3</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枫华园、杏韵园宿舍入口</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8480" behindDoc="0" locked="0" layoutInCell="1" allowOverlap="1" wp14:anchorId="3E804A15" wp14:editId="5AA6EC08">
                  <wp:simplePos x="0" y="0"/>
                  <wp:positionH relativeFrom="column">
                    <wp:posOffset>45720</wp:posOffset>
                  </wp:positionH>
                  <wp:positionV relativeFrom="paragraph">
                    <wp:posOffset>194945</wp:posOffset>
                  </wp:positionV>
                  <wp:extent cx="809625" cy="246380"/>
                  <wp:effectExtent l="0" t="0" r="9525" b="127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46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500*5200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1.5mm厚不锈钢板激光切割造型，围边焊接成型，表面做户外灰色氟碳烤漆，贴附在外墙面安装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17</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4</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枫华园、杏韵园宿舍牌</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9504" behindDoc="0" locked="0" layoutInCell="1" allowOverlap="1" wp14:anchorId="50B9D808" wp14:editId="04A17EAE">
                  <wp:simplePos x="0" y="0"/>
                  <wp:positionH relativeFrom="column">
                    <wp:posOffset>209550</wp:posOffset>
                  </wp:positionH>
                  <wp:positionV relativeFrom="paragraph">
                    <wp:posOffset>74930</wp:posOffset>
                  </wp:positionV>
                  <wp:extent cx="422910" cy="640080"/>
                  <wp:effectExtent l="0" t="0" r="0" b="762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910"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1500*1000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1.5mm厚3不锈钢板折弯焊接，表面户外氟碳烤漆，英文字母丝网印刷。数字做20mm厚不锈钢立体精工烤漆字</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34</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5</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枫华园餐厅</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0528" behindDoc="0" locked="0" layoutInCell="1" allowOverlap="1" wp14:anchorId="42858F89" wp14:editId="18E048B3">
                  <wp:simplePos x="0" y="0"/>
                  <wp:positionH relativeFrom="column">
                    <wp:posOffset>45720</wp:posOffset>
                  </wp:positionH>
                  <wp:positionV relativeFrom="paragraph">
                    <wp:posOffset>135890</wp:posOffset>
                  </wp:positionV>
                  <wp:extent cx="781050" cy="342900"/>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1200*7200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1.5mm厚不锈钢板激光切割造型，围边焊接成型精工打磨，表面电镀金色，贴附在墙面安装。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6</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畅怀园餐厅</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1552" behindDoc="0" locked="0" layoutInCell="1" allowOverlap="1" wp14:anchorId="6F51AAE7" wp14:editId="2B1662BF">
                  <wp:simplePos x="0" y="0"/>
                  <wp:positionH relativeFrom="column">
                    <wp:posOffset>45720</wp:posOffset>
                  </wp:positionH>
                  <wp:positionV relativeFrom="paragraph">
                    <wp:posOffset>95885</wp:posOffset>
                  </wp:positionV>
                  <wp:extent cx="809625" cy="371475"/>
                  <wp:effectExtent l="0" t="0" r="9525" b="952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2150*6600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1.5mm厚不锈钢板激光切割造型，围边焊接成型精工打磨，表面电镀金色，贴附在</w:t>
            </w:r>
            <w:r>
              <w:rPr>
                <w:rFonts w:ascii="仿宋" w:eastAsia="仿宋" w:hAnsi="仿宋" w:cs="宋体" w:hint="eastAsia"/>
                <w:kern w:val="0"/>
                <w:sz w:val="24"/>
              </w:rPr>
              <w:t>墙</w:t>
            </w:r>
            <w:r w:rsidRPr="00B2631D">
              <w:rPr>
                <w:rFonts w:ascii="仿宋" w:eastAsia="仿宋" w:hAnsi="仿宋" w:cs="宋体" w:hint="eastAsia"/>
                <w:kern w:val="0"/>
                <w:sz w:val="24"/>
              </w:rPr>
              <w:t>面安装。</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7</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知新楼</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2576" behindDoc="0" locked="0" layoutInCell="1" allowOverlap="1" wp14:anchorId="14D6F28F" wp14:editId="15242222">
                  <wp:simplePos x="0" y="0"/>
                  <wp:positionH relativeFrom="column">
                    <wp:posOffset>48895</wp:posOffset>
                  </wp:positionH>
                  <wp:positionV relativeFrom="paragraph">
                    <wp:posOffset>196850</wp:posOffset>
                  </wp:positionV>
                  <wp:extent cx="752475" cy="400050"/>
                  <wp:effectExtent l="0" t="0" r="9525"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2300*6000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1.5mm厚不锈钢板激光切割造型，围边焊接成型精工打磨，表面电镀金色。不锈钢方通焊接字架固定在入口雨棚顶部</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699"/>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r>
              <w:rPr>
                <w:rFonts w:ascii="仿宋" w:eastAsia="仿宋" w:hAnsi="仿宋" w:cs="宋体" w:hint="eastAsia"/>
                <w:kern w:val="0"/>
                <w:sz w:val="24"/>
              </w:rPr>
              <w:t>8</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日新楼</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2300*6000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1.5mm厚不锈钢板激光切割造型，围边焊接成型精工打磨，表面电镀金色。不锈钢方通焊接字架固定在入口雨棚顶部</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2550"/>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19</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校园导视牌</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3600" behindDoc="0" locked="0" layoutInCell="1" allowOverlap="1" wp14:anchorId="263E1F16" wp14:editId="383B5354">
                  <wp:simplePos x="0" y="0"/>
                  <wp:positionH relativeFrom="column">
                    <wp:posOffset>282575</wp:posOffset>
                  </wp:positionH>
                  <wp:positionV relativeFrom="paragraph">
                    <wp:posOffset>443865</wp:posOffset>
                  </wp:positionV>
                  <wp:extent cx="294005" cy="753745"/>
                  <wp:effectExtent l="0" t="0" r="0" b="825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005" cy="753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900*2400</w:t>
            </w:r>
          </w:p>
        </w:tc>
        <w:tc>
          <w:tcPr>
            <w:tcW w:w="3716" w:type="dxa"/>
            <w:shd w:val="clear" w:color="auto" w:fill="auto"/>
            <w:vAlign w:val="center"/>
            <w:hideMark/>
          </w:tcPr>
          <w:p w:rsidR="003B7058" w:rsidRPr="00B2631D" w:rsidRDefault="003B7058" w:rsidP="00BB76A9">
            <w:pPr>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1.5mm厚不锈钢板激光切割造型，剪板折弯，拼装焊接成型，表面分色烤漆，内置镀锌管焊接骨架，文字内容丝印。</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12</w:t>
            </w:r>
          </w:p>
        </w:tc>
      </w:tr>
      <w:tr w:rsidR="003B7058" w:rsidRPr="00B2631D" w:rsidTr="00BB76A9">
        <w:trPr>
          <w:trHeight w:val="1259"/>
        </w:trPr>
        <w:tc>
          <w:tcPr>
            <w:tcW w:w="709" w:type="dxa"/>
            <w:shd w:val="clear" w:color="auto" w:fill="auto"/>
            <w:noWrap/>
            <w:vAlign w:val="center"/>
            <w:hideMark/>
          </w:tcPr>
          <w:p w:rsidR="003B7058" w:rsidRDefault="003B7058" w:rsidP="00BB76A9">
            <w:pPr>
              <w:jc w:val="center"/>
              <w:rPr>
                <w:rFonts w:ascii="仿宋" w:eastAsia="仿宋" w:hAnsi="仿宋" w:cs="宋体" w:hint="eastAsia"/>
                <w:kern w:val="0"/>
                <w:sz w:val="24"/>
              </w:rPr>
            </w:pPr>
            <w:r>
              <w:rPr>
                <w:rFonts w:ascii="仿宋" w:eastAsia="仿宋" w:hAnsi="仿宋" w:cs="宋体" w:hint="eastAsia"/>
                <w:kern w:val="0"/>
                <w:sz w:val="24"/>
              </w:rPr>
              <w:t>20</w:t>
            </w:r>
          </w:p>
        </w:tc>
        <w:tc>
          <w:tcPr>
            <w:tcW w:w="1253" w:type="dxa"/>
            <w:shd w:val="clear" w:color="auto" w:fill="auto"/>
            <w:vAlign w:val="center"/>
            <w:hideMark/>
          </w:tcPr>
          <w:p w:rsidR="003B7058" w:rsidRPr="00B2631D" w:rsidRDefault="003B7058" w:rsidP="00BB76A9">
            <w:pPr>
              <w:rPr>
                <w:rFonts w:ascii="仿宋" w:eastAsia="仿宋" w:hAnsi="仿宋" w:cs="宋体" w:hint="eastAsia"/>
                <w:kern w:val="0"/>
                <w:sz w:val="24"/>
              </w:rPr>
            </w:pPr>
            <w:r>
              <w:rPr>
                <w:rFonts w:ascii="仿宋" w:eastAsia="仿宋" w:hAnsi="仿宋" w:cs="宋体" w:hint="eastAsia"/>
                <w:kern w:val="0"/>
                <w:sz w:val="24"/>
              </w:rPr>
              <w:t>校园导览牌（绿）</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noProof/>
                <w:kern w:val="0"/>
                <w:sz w:val="24"/>
              </w:rPr>
            </w:pPr>
            <w:r>
              <w:rPr>
                <w:rFonts w:ascii="仿宋" w:eastAsia="仿宋" w:hAnsi="仿宋" w:cs="宋体"/>
                <w:noProof/>
                <w:kern w:val="0"/>
                <w:sz w:val="24"/>
              </w:rPr>
              <w:drawing>
                <wp:inline distT="0" distB="0" distL="0" distR="0" wp14:anchorId="56F88A2B" wp14:editId="17D9667F">
                  <wp:extent cx="685800" cy="457200"/>
                  <wp:effectExtent l="0" t="0" r="0" b="0"/>
                  <wp:docPr id="12" name="图片 12" descr="F:\CCC\Documents\WeChat Files\wxid_76oajteal77f11\FileStorage\Temp\3ee654ca34a398f1ca23805ace2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CCC\Documents\WeChat Files\wxid_76oajteal77f11\FileStorage\Temp\3ee654ca34a398f1ca23805ace2464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tc>
        <w:tc>
          <w:tcPr>
            <w:tcW w:w="1702" w:type="dxa"/>
            <w:shd w:val="clear" w:color="auto" w:fill="auto"/>
            <w:noWrap/>
            <w:vAlign w:val="center"/>
            <w:hideMark/>
          </w:tcPr>
          <w:p w:rsidR="003B7058" w:rsidRPr="00B2631D" w:rsidRDefault="003B7058" w:rsidP="00BB76A9">
            <w:pPr>
              <w:jc w:val="center"/>
              <w:rPr>
                <w:rFonts w:ascii="仿宋" w:eastAsia="仿宋" w:hAnsi="仿宋" w:cs="宋体" w:hint="eastAsia"/>
                <w:kern w:val="0"/>
                <w:sz w:val="24"/>
              </w:rPr>
            </w:pPr>
            <w:r>
              <w:rPr>
                <w:rFonts w:ascii="仿宋" w:eastAsia="仿宋" w:hAnsi="仿宋" w:cs="宋体" w:hint="eastAsia"/>
                <w:kern w:val="0"/>
                <w:sz w:val="24"/>
              </w:rPr>
              <w:t>1880*2820</w:t>
            </w:r>
          </w:p>
        </w:tc>
        <w:tc>
          <w:tcPr>
            <w:tcW w:w="3716" w:type="dxa"/>
            <w:shd w:val="clear" w:color="auto" w:fill="auto"/>
            <w:vAlign w:val="center"/>
            <w:hideMark/>
          </w:tcPr>
          <w:p w:rsidR="003B7058" w:rsidRPr="00B2631D" w:rsidRDefault="003B7058" w:rsidP="00BB76A9">
            <w:pPr>
              <w:rPr>
                <w:rFonts w:ascii="仿宋" w:eastAsia="仿宋" w:hAnsi="仿宋" w:cs="宋体" w:hint="eastAsia"/>
                <w:kern w:val="0"/>
                <w:sz w:val="24"/>
              </w:rPr>
            </w:pPr>
            <w:r w:rsidRPr="00B2631D">
              <w:rPr>
                <w:rFonts w:ascii="仿宋" w:eastAsia="仿宋" w:hAnsi="仿宋" w:cs="宋体" w:hint="eastAsia"/>
                <w:kern w:val="0"/>
                <w:sz w:val="24"/>
              </w:rPr>
              <w:t>1.5mm厚不锈钢板激光切割造型，剪板折弯，拼装焊接成型，表面分色烤漆，内置镀锌管焊接骨架，</w:t>
            </w:r>
            <w:r>
              <w:rPr>
                <w:rFonts w:ascii="仿宋" w:eastAsia="仿宋" w:hAnsi="仿宋" w:cs="宋体" w:hint="eastAsia"/>
                <w:kern w:val="0"/>
                <w:sz w:val="24"/>
              </w:rPr>
              <w:t>上内横灯带，文字内容印刷。</w:t>
            </w:r>
          </w:p>
        </w:tc>
        <w:tc>
          <w:tcPr>
            <w:tcW w:w="700" w:type="dxa"/>
            <w:shd w:val="clear" w:color="auto" w:fill="auto"/>
            <w:vAlign w:val="center"/>
            <w:hideMark/>
          </w:tcPr>
          <w:p w:rsidR="003B7058" w:rsidRPr="00B2631D" w:rsidRDefault="003B7058" w:rsidP="00BB76A9">
            <w:pPr>
              <w:jc w:val="center"/>
              <w:rPr>
                <w:rFonts w:ascii="仿宋" w:eastAsia="仿宋" w:hAnsi="仿宋" w:cs="宋体" w:hint="eastAsia"/>
                <w:kern w:val="0"/>
                <w:sz w:val="24"/>
              </w:rPr>
            </w:pPr>
            <w:r>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w:t>
            </w:r>
            <w:r>
              <w:rPr>
                <w:rFonts w:ascii="仿宋" w:eastAsia="仿宋" w:hAnsi="仿宋" w:cs="宋体" w:hint="eastAsia"/>
                <w:kern w:val="0"/>
                <w:sz w:val="24"/>
              </w:rPr>
              <w:t>1</w:t>
            </w:r>
          </w:p>
        </w:tc>
        <w:tc>
          <w:tcPr>
            <w:tcW w:w="1253"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路名标识</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4624" behindDoc="0" locked="0" layoutInCell="1" allowOverlap="1" wp14:anchorId="0A3DC592" wp14:editId="7ED124B0">
                  <wp:simplePos x="0" y="0"/>
                  <wp:positionH relativeFrom="column">
                    <wp:posOffset>212725</wp:posOffset>
                  </wp:positionH>
                  <wp:positionV relativeFrom="paragraph">
                    <wp:posOffset>121920</wp:posOffset>
                  </wp:positionV>
                  <wp:extent cx="304800" cy="5715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850*2400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面板1.5mm厚不锈钢板激光切割造形焊接，表面户外氟碳烤漆。立柱不锈钢89圆管。图形文字3M工程级反膜雕刻。</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10</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lastRenderedPageBreak/>
              <w:t>22</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路名标识改内容</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5648" behindDoc="0" locked="0" layoutInCell="1" allowOverlap="1" wp14:anchorId="38796C0C" wp14:editId="2532E8CB">
                  <wp:simplePos x="0" y="0"/>
                  <wp:positionH relativeFrom="column">
                    <wp:posOffset>270510</wp:posOffset>
                  </wp:positionH>
                  <wp:positionV relativeFrom="paragraph">
                    <wp:posOffset>49530</wp:posOffset>
                  </wp:positionV>
                  <wp:extent cx="304800" cy="5715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300*850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Pr>
                <w:rFonts w:ascii="仿宋" w:eastAsia="仿宋" w:hAnsi="仿宋" w:cs="宋体" w:hint="eastAsia"/>
                <w:kern w:val="0"/>
                <w:sz w:val="24"/>
              </w:rPr>
              <w:t>利用</w:t>
            </w:r>
            <w:r w:rsidRPr="00B2631D">
              <w:rPr>
                <w:rFonts w:ascii="仿宋" w:eastAsia="仿宋" w:hAnsi="仿宋" w:cs="宋体" w:hint="eastAsia"/>
                <w:kern w:val="0"/>
                <w:sz w:val="24"/>
              </w:rPr>
              <w:t>原路名标识</w:t>
            </w:r>
            <w:r>
              <w:rPr>
                <w:rFonts w:ascii="仿宋" w:eastAsia="仿宋" w:hAnsi="仿宋" w:cs="宋体" w:hint="eastAsia"/>
                <w:kern w:val="0"/>
                <w:sz w:val="24"/>
              </w:rPr>
              <w:t>牌</w:t>
            </w:r>
            <w:r w:rsidRPr="00B2631D">
              <w:rPr>
                <w:rFonts w:ascii="仿宋" w:eastAsia="仿宋" w:hAnsi="仿宋" w:cs="宋体" w:hint="eastAsia"/>
                <w:kern w:val="0"/>
                <w:sz w:val="24"/>
              </w:rPr>
              <w:t>，</w:t>
            </w:r>
            <w:r>
              <w:rPr>
                <w:rFonts w:ascii="仿宋" w:eastAsia="仿宋" w:hAnsi="仿宋" w:cs="宋体" w:hint="eastAsia"/>
                <w:kern w:val="0"/>
                <w:sz w:val="24"/>
              </w:rPr>
              <w:t>更新</w:t>
            </w:r>
            <w:r w:rsidRPr="00B2631D">
              <w:rPr>
                <w:rFonts w:ascii="仿宋" w:eastAsia="仿宋" w:hAnsi="仿宋" w:cs="宋体" w:hint="eastAsia"/>
                <w:kern w:val="0"/>
                <w:sz w:val="24"/>
              </w:rPr>
              <w:t>路牌内容</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20</w:t>
            </w:r>
          </w:p>
        </w:tc>
      </w:tr>
      <w:tr w:rsidR="003B7058" w:rsidRPr="00B2631D" w:rsidTr="00BB76A9">
        <w:trPr>
          <w:trHeight w:val="416"/>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23</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多向导视牌</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6672" behindDoc="0" locked="0" layoutInCell="1" allowOverlap="1" wp14:anchorId="2D1984D2" wp14:editId="4709344C">
                  <wp:simplePos x="0" y="0"/>
                  <wp:positionH relativeFrom="column">
                    <wp:posOffset>288925</wp:posOffset>
                  </wp:positionH>
                  <wp:positionV relativeFrom="paragraph">
                    <wp:posOffset>56515</wp:posOffset>
                  </wp:positionV>
                  <wp:extent cx="304800" cy="657225"/>
                  <wp:effectExtent l="0" t="0" r="0"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1200*2800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1.5mm厚不锈钢板激光切割造型，剪板折弯，拼装焊接成型，打磨分色烤漆，内置镀锌管焊接骨架，文字内容丝印。</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24</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楼栋导向立牌</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7696" behindDoc="0" locked="0" layoutInCell="1" allowOverlap="1" wp14:anchorId="47281071" wp14:editId="670B87CE">
                  <wp:simplePos x="0" y="0"/>
                  <wp:positionH relativeFrom="column">
                    <wp:posOffset>292100</wp:posOffset>
                  </wp:positionH>
                  <wp:positionV relativeFrom="paragraph">
                    <wp:posOffset>49530</wp:posOffset>
                  </wp:positionV>
                  <wp:extent cx="205105" cy="868045"/>
                  <wp:effectExtent l="0" t="0" r="4445" b="825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105" cy="868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500*2400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1.5mm厚不锈钢板激光切割造型，剪板折弯，拼装焊接成型，表面分色烤漆，内置镀锌管焊接骨架，文字内容丝印。</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25</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电动车停放处</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8720" behindDoc="0" locked="0" layoutInCell="1" allowOverlap="1" wp14:anchorId="4065D1FD" wp14:editId="1D359CD2">
                  <wp:simplePos x="0" y="0"/>
                  <wp:positionH relativeFrom="column">
                    <wp:posOffset>295275</wp:posOffset>
                  </wp:positionH>
                  <wp:positionV relativeFrom="paragraph">
                    <wp:posOffset>122555</wp:posOffset>
                  </wp:positionV>
                  <wp:extent cx="410210" cy="770890"/>
                  <wp:effectExtent l="0" t="0" r="889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0210" cy="770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500*2000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1.5mm厚不锈钢板激光切割造型，剪板折弯，拼装焊接成型，表面分色烤漆，内置镀锌管焊接骨架，文字内容丝印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26</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畅怀桥</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79744" behindDoc="0" locked="0" layoutInCell="1" allowOverlap="1" wp14:anchorId="2CCDE9D3" wp14:editId="72900CB4">
                  <wp:simplePos x="0" y="0"/>
                  <wp:positionH relativeFrom="column">
                    <wp:posOffset>269240</wp:posOffset>
                  </wp:positionH>
                  <wp:positionV relativeFrom="paragraph">
                    <wp:posOffset>97155</wp:posOffset>
                  </wp:positionV>
                  <wp:extent cx="309245" cy="80645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9245" cy="806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500*1200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1.5mm厚不锈钢板激光切割造型，剪板折弯，拼装焊接成型，表面分色烤漆，内置镀锌管焊接骨架，文字内容丝印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27</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莲海田径场标牌</w:t>
            </w:r>
            <w:r>
              <w:rPr>
                <w:rFonts w:ascii="仿宋" w:eastAsia="仿宋" w:hAnsi="仿宋" w:cs="宋体" w:hint="eastAsia"/>
                <w:kern w:val="0"/>
                <w:sz w:val="24"/>
              </w:rPr>
              <w:t>（横、竖）</w:t>
            </w:r>
          </w:p>
        </w:tc>
        <w:tc>
          <w:tcPr>
            <w:tcW w:w="1559" w:type="dxa"/>
            <w:vMerge w:val="restart"/>
            <w:shd w:val="clear" w:color="auto" w:fill="auto"/>
            <w:noWrap/>
            <w:vAlign w:val="center"/>
            <w:hideMark/>
          </w:tcPr>
          <w:p w:rsidR="003B7058" w:rsidRPr="00B2631D" w:rsidRDefault="003B7058" w:rsidP="00BB76A9">
            <w:pPr>
              <w:widowControl/>
              <w:jc w:val="left"/>
              <w:rPr>
                <w:rFonts w:ascii="仿宋" w:eastAsia="仿宋" w:hAnsi="仿宋" w:cs="宋体"/>
                <w:color w:val="000000"/>
                <w:kern w:val="0"/>
                <w:sz w:val="24"/>
              </w:rPr>
            </w:pPr>
          </w:p>
          <w:p w:rsidR="003B7058" w:rsidRPr="00B2631D" w:rsidRDefault="003B7058" w:rsidP="00BB76A9">
            <w:pPr>
              <w:widowControl/>
              <w:jc w:val="left"/>
              <w:rPr>
                <w:rFonts w:ascii="仿宋" w:eastAsia="仿宋" w:hAnsi="仿宋" w:cs="宋体"/>
                <w:color w:val="000000"/>
                <w:kern w:val="0"/>
                <w:sz w:val="24"/>
              </w:rPr>
            </w:pPr>
            <w:r>
              <w:rPr>
                <w:rFonts w:ascii="仿宋" w:eastAsia="仿宋" w:hAnsi="仿宋" w:cs="宋体"/>
                <w:noProof/>
                <w:color w:val="000000"/>
                <w:kern w:val="0"/>
                <w:sz w:val="24"/>
              </w:rPr>
              <w:drawing>
                <wp:anchor distT="0" distB="0" distL="114300" distR="114300" simplePos="0" relativeHeight="251680768" behindDoc="0" locked="0" layoutInCell="1" allowOverlap="1" wp14:anchorId="1B44596B" wp14:editId="28271372">
                  <wp:simplePos x="0" y="0"/>
                  <wp:positionH relativeFrom="column">
                    <wp:posOffset>55245</wp:posOffset>
                  </wp:positionH>
                  <wp:positionV relativeFrom="paragraph">
                    <wp:posOffset>226695</wp:posOffset>
                  </wp:positionV>
                  <wp:extent cx="742950" cy="485775"/>
                  <wp:effectExtent l="0" t="0" r="0"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1000*4500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w:t>
            </w:r>
            <w:r>
              <w:rPr>
                <w:rFonts w:ascii="仿宋" w:eastAsia="仿宋" w:hAnsi="仿宋" w:cs="宋体" w:hint="eastAsia"/>
                <w:kern w:val="0"/>
                <w:sz w:val="24"/>
              </w:rPr>
              <w:t>横竖各一，</w:t>
            </w:r>
            <w:r w:rsidRPr="00B2631D">
              <w:rPr>
                <w:rFonts w:ascii="仿宋" w:eastAsia="仿宋" w:hAnsi="仿宋" w:cs="宋体" w:hint="eastAsia"/>
                <w:kern w:val="0"/>
                <w:sz w:val="24"/>
              </w:rPr>
              <w:t>立地安装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2</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28</w:t>
            </w:r>
          </w:p>
        </w:tc>
        <w:tc>
          <w:tcPr>
            <w:tcW w:w="1253" w:type="dxa"/>
            <w:shd w:val="clear" w:color="auto" w:fill="auto"/>
            <w:vAlign w:val="center"/>
            <w:hideMark/>
          </w:tcPr>
          <w:p w:rsidR="003B7058" w:rsidRDefault="003B7058" w:rsidP="00BB76A9">
            <w:pPr>
              <w:widowControl/>
              <w:rPr>
                <w:rFonts w:ascii="仿宋" w:eastAsia="仿宋" w:hAnsi="仿宋" w:cs="宋体" w:hint="eastAsia"/>
                <w:kern w:val="0"/>
                <w:sz w:val="24"/>
              </w:rPr>
            </w:pPr>
            <w:r w:rsidRPr="00B2631D">
              <w:rPr>
                <w:rFonts w:ascii="仿宋" w:eastAsia="仿宋" w:hAnsi="仿宋" w:cs="宋体" w:hint="eastAsia"/>
                <w:kern w:val="0"/>
                <w:sz w:val="24"/>
              </w:rPr>
              <w:t>杏韵综合球场标牌</w:t>
            </w:r>
          </w:p>
          <w:p w:rsidR="003B7058" w:rsidRPr="00B2631D" w:rsidRDefault="003B7058" w:rsidP="00BB76A9">
            <w:pPr>
              <w:widowControl/>
              <w:rPr>
                <w:rFonts w:ascii="仿宋" w:eastAsia="仿宋" w:hAnsi="仿宋" w:cs="宋体"/>
                <w:kern w:val="0"/>
                <w:sz w:val="24"/>
              </w:rPr>
            </w:pPr>
            <w:r>
              <w:rPr>
                <w:rFonts w:ascii="仿宋" w:eastAsia="仿宋" w:hAnsi="仿宋" w:cs="宋体" w:hint="eastAsia"/>
                <w:kern w:val="0"/>
                <w:sz w:val="24"/>
              </w:rPr>
              <w:t>（横，竖）</w:t>
            </w:r>
          </w:p>
        </w:tc>
        <w:tc>
          <w:tcPr>
            <w:tcW w:w="1559" w:type="dxa"/>
            <w:vMerge/>
            <w:vAlign w:val="center"/>
            <w:hideMark/>
          </w:tcPr>
          <w:p w:rsidR="003B7058" w:rsidRPr="00B2631D" w:rsidRDefault="003B7058" w:rsidP="00BB76A9">
            <w:pPr>
              <w:widowControl/>
              <w:jc w:val="left"/>
              <w:rPr>
                <w:rFonts w:ascii="仿宋" w:eastAsia="仿宋" w:hAnsi="仿宋" w:cs="宋体"/>
                <w:color w:val="000000"/>
                <w:kern w:val="0"/>
                <w:sz w:val="24"/>
              </w:rPr>
            </w:pP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1000*5200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1.5mm厚不锈钢板激光切割造型围边焊接成型精工打磨，</w:t>
            </w:r>
            <w:r>
              <w:rPr>
                <w:rFonts w:ascii="仿宋" w:eastAsia="仿宋" w:hAnsi="仿宋" w:cs="宋体" w:hint="eastAsia"/>
                <w:kern w:val="0"/>
                <w:sz w:val="24"/>
              </w:rPr>
              <w:t>横竖各一，</w:t>
            </w:r>
            <w:r w:rsidRPr="00B2631D">
              <w:rPr>
                <w:rFonts w:ascii="仿宋" w:eastAsia="仿宋" w:hAnsi="仿宋" w:cs="宋体" w:hint="eastAsia"/>
                <w:kern w:val="0"/>
                <w:sz w:val="24"/>
              </w:rPr>
              <w:t>立地安装</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Pr>
                <w:rFonts w:ascii="仿宋" w:eastAsia="仿宋" w:hAnsi="仿宋" w:cs="宋体" w:hint="eastAsia"/>
                <w:kern w:val="0"/>
                <w:sz w:val="24"/>
              </w:rPr>
              <w:t>2</w:t>
            </w:r>
          </w:p>
        </w:tc>
      </w:tr>
      <w:tr w:rsidR="003B7058" w:rsidRPr="00B2631D" w:rsidTr="00BB76A9">
        <w:trPr>
          <w:trHeight w:val="1002"/>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29</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花栖诗地读书处</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1702"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500*1200</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1.5mm厚不锈钢板激光切割造型，剪板折弯，拼装焊接成型，表面分色烤漆，内置镀锌管焊接骨架，文字内容丝印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r w:rsidR="003B7058" w:rsidRPr="00B2631D" w:rsidTr="00BB76A9">
        <w:trPr>
          <w:trHeight w:val="1327"/>
        </w:trPr>
        <w:tc>
          <w:tcPr>
            <w:tcW w:w="709" w:type="dxa"/>
            <w:shd w:val="clear" w:color="auto" w:fill="auto"/>
            <w:noWrap/>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30</w:t>
            </w:r>
          </w:p>
        </w:tc>
        <w:tc>
          <w:tcPr>
            <w:tcW w:w="1253" w:type="dxa"/>
            <w:shd w:val="clear" w:color="auto" w:fill="auto"/>
            <w:vAlign w:val="center"/>
            <w:hideMark/>
          </w:tcPr>
          <w:p w:rsidR="003B7058" w:rsidRPr="00B2631D" w:rsidRDefault="003B7058" w:rsidP="00BB76A9">
            <w:pPr>
              <w:widowControl/>
              <w:rPr>
                <w:rFonts w:ascii="仿宋" w:eastAsia="仿宋" w:hAnsi="仿宋" w:cs="宋体"/>
                <w:kern w:val="0"/>
                <w:sz w:val="24"/>
              </w:rPr>
            </w:pPr>
            <w:r w:rsidRPr="00B2631D">
              <w:rPr>
                <w:rFonts w:ascii="仿宋" w:eastAsia="仿宋" w:hAnsi="仿宋" w:cs="宋体" w:hint="eastAsia"/>
                <w:kern w:val="0"/>
                <w:sz w:val="24"/>
              </w:rPr>
              <w:t>导览图更换内容</w:t>
            </w:r>
          </w:p>
        </w:tc>
        <w:tc>
          <w:tcPr>
            <w:tcW w:w="1559"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1702"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 xml:space="preserve">　</w:t>
            </w:r>
          </w:p>
        </w:tc>
        <w:tc>
          <w:tcPr>
            <w:tcW w:w="3716" w:type="dxa"/>
            <w:shd w:val="clear" w:color="auto" w:fill="auto"/>
            <w:vAlign w:val="center"/>
            <w:hideMark/>
          </w:tcPr>
          <w:p w:rsidR="003B7058" w:rsidRPr="00B2631D" w:rsidRDefault="003B7058" w:rsidP="00BB76A9">
            <w:pPr>
              <w:widowControl/>
              <w:rPr>
                <w:rFonts w:ascii="仿宋" w:eastAsia="仿宋" w:hAnsi="仿宋" w:cs="宋体"/>
                <w:kern w:val="0"/>
                <w:sz w:val="24"/>
              </w:rPr>
            </w:pPr>
            <w:r>
              <w:rPr>
                <w:rFonts w:ascii="仿宋" w:eastAsia="仿宋" w:hAnsi="仿宋" w:cs="宋体" w:hint="eastAsia"/>
                <w:kern w:val="0"/>
                <w:sz w:val="24"/>
              </w:rPr>
              <w:t>导览图设计更新，</w:t>
            </w:r>
            <w:r w:rsidRPr="00B2631D">
              <w:rPr>
                <w:rFonts w:ascii="仿宋" w:eastAsia="仿宋" w:hAnsi="仿宋" w:cs="宋体" w:hint="eastAsia"/>
                <w:kern w:val="0"/>
                <w:sz w:val="24"/>
              </w:rPr>
              <w:t>高清户外灯片打印</w:t>
            </w:r>
            <w:r>
              <w:rPr>
                <w:rFonts w:ascii="仿宋" w:eastAsia="仿宋" w:hAnsi="仿宋" w:cs="宋体" w:hint="eastAsia"/>
                <w:kern w:val="0"/>
                <w:sz w:val="24"/>
              </w:rPr>
              <w:t>。</w:t>
            </w:r>
          </w:p>
        </w:tc>
        <w:tc>
          <w:tcPr>
            <w:tcW w:w="700" w:type="dxa"/>
            <w:shd w:val="clear" w:color="auto" w:fill="auto"/>
            <w:vAlign w:val="center"/>
            <w:hideMark/>
          </w:tcPr>
          <w:p w:rsidR="003B7058" w:rsidRPr="00B2631D" w:rsidRDefault="003B7058" w:rsidP="00BB76A9">
            <w:pPr>
              <w:widowControl/>
              <w:jc w:val="center"/>
              <w:rPr>
                <w:rFonts w:ascii="仿宋" w:eastAsia="仿宋" w:hAnsi="仿宋" w:cs="宋体"/>
                <w:kern w:val="0"/>
                <w:sz w:val="24"/>
              </w:rPr>
            </w:pPr>
            <w:r w:rsidRPr="00B2631D">
              <w:rPr>
                <w:rFonts w:ascii="仿宋" w:eastAsia="仿宋" w:hAnsi="仿宋" w:cs="宋体" w:hint="eastAsia"/>
                <w:kern w:val="0"/>
                <w:sz w:val="24"/>
              </w:rPr>
              <w:t>1</w:t>
            </w:r>
          </w:p>
        </w:tc>
      </w:tr>
    </w:tbl>
    <w:p w:rsidR="003B7058" w:rsidRPr="00930491" w:rsidRDefault="003B7058" w:rsidP="003B7058">
      <w:pPr>
        <w:spacing w:line="440" w:lineRule="exact"/>
        <w:rPr>
          <w:rFonts w:ascii="仿宋" w:eastAsia="仿宋" w:hAnsi="仿宋" w:cs="宋体"/>
          <w:kern w:val="0"/>
          <w:sz w:val="24"/>
        </w:rPr>
      </w:pPr>
      <w:r w:rsidRPr="00930491">
        <w:rPr>
          <w:rFonts w:ascii="仿宋" w:eastAsia="仿宋" w:hAnsi="仿宋" w:cs="宋体" w:hint="eastAsia"/>
          <w:b/>
          <w:kern w:val="0"/>
          <w:sz w:val="24"/>
        </w:rPr>
        <w:t>备注：</w:t>
      </w:r>
      <w:r w:rsidRPr="00930491">
        <w:rPr>
          <w:rFonts w:ascii="仿宋" w:eastAsia="仿宋" w:hAnsi="仿宋" w:cs="宋体" w:hint="eastAsia"/>
          <w:kern w:val="0"/>
          <w:sz w:val="24"/>
        </w:rPr>
        <w:t>部分导视系统</w:t>
      </w:r>
      <w:r>
        <w:rPr>
          <w:rFonts w:ascii="仿宋" w:eastAsia="仿宋" w:hAnsi="仿宋" w:cs="宋体" w:hint="eastAsia"/>
          <w:kern w:val="0"/>
          <w:sz w:val="24"/>
        </w:rPr>
        <w:t>标识的</w:t>
      </w:r>
      <w:r w:rsidRPr="00930491">
        <w:rPr>
          <w:rFonts w:ascii="仿宋" w:eastAsia="仿宋" w:hAnsi="仿宋" w:cs="宋体" w:hint="eastAsia"/>
          <w:kern w:val="0"/>
          <w:sz w:val="24"/>
        </w:rPr>
        <w:t>尺寸可能会依据实际略作调整，以</w:t>
      </w:r>
      <w:r>
        <w:rPr>
          <w:rFonts w:ascii="仿宋" w:eastAsia="仿宋" w:hAnsi="仿宋" w:cs="宋体" w:hint="eastAsia"/>
          <w:kern w:val="0"/>
          <w:sz w:val="24"/>
        </w:rPr>
        <w:t>最终</w:t>
      </w:r>
      <w:r w:rsidRPr="00930491">
        <w:rPr>
          <w:rFonts w:ascii="仿宋" w:eastAsia="仿宋" w:hAnsi="仿宋" w:cs="宋体" w:hint="eastAsia"/>
          <w:kern w:val="0"/>
          <w:sz w:val="24"/>
        </w:rPr>
        <w:t>测量为准。</w:t>
      </w:r>
    </w:p>
    <w:p w:rsidR="003B7058" w:rsidRDefault="003B7058">
      <w:pPr>
        <w:spacing w:line="440" w:lineRule="exact"/>
        <w:jc w:val="left"/>
        <w:rPr>
          <w:rFonts w:ascii="仿宋" w:eastAsia="仿宋" w:hAnsi="仿宋"/>
          <w:b/>
          <w:sz w:val="24"/>
        </w:rPr>
      </w:pPr>
      <w:bookmarkStart w:id="4" w:name="_GoBack"/>
      <w:bookmarkEnd w:id="4"/>
    </w:p>
    <w:sectPr w:rsidR="003B7058">
      <w:footerReference w:type="default" r:id="rId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20" w:rsidRDefault="00040120">
      <w:r>
        <w:separator/>
      </w:r>
    </w:p>
  </w:endnote>
  <w:endnote w:type="continuationSeparator" w:id="0">
    <w:p w:rsidR="00040120" w:rsidRDefault="0004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3B7058">
      <w:rPr>
        <w:rStyle w:val="af"/>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20" w:rsidRDefault="00040120">
      <w:r>
        <w:separator/>
      </w:r>
    </w:p>
  </w:footnote>
  <w:footnote w:type="continuationSeparator" w:id="0">
    <w:p w:rsidR="00040120" w:rsidRDefault="00040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95AF3F5"/>
    <w:multiLevelType w:val="singleLevel"/>
    <w:tmpl w:val="095AF3F5"/>
    <w:lvl w:ilvl="0">
      <w:start w:val="1"/>
      <w:numFmt w:val="chineseCounting"/>
      <w:suff w:val="nothing"/>
      <w:lvlText w:val="%1、"/>
      <w:lvlJc w:val="left"/>
      <w:rPr>
        <w:rFonts w:hint="eastAsia"/>
      </w:rPr>
    </w:lvl>
  </w:abstractNum>
  <w:abstractNum w:abstractNumId="2">
    <w:nsid w:val="3C498FD4"/>
    <w:multiLevelType w:val="singleLevel"/>
    <w:tmpl w:val="3C498FD4"/>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1038E"/>
    <w:rsid w:val="000207E2"/>
    <w:rsid w:val="00021EC5"/>
    <w:rsid w:val="000262E7"/>
    <w:rsid w:val="00032993"/>
    <w:rsid w:val="00032B19"/>
    <w:rsid w:val="00037140"/>
    <w:rsid w:val="00040120"/>
    <w:rsid w:val="00040D14"/>
    <w:rsid w:val="0004505E"/>
    <w:rsid w:val="00045903"/>
    <w:rsid w:val="00050634"/>
    <w:rsid w:val="00060000"/>
    <w:rsid w:val="00065747"/>
    <w:rsid w:val="0006639C"/>
    <w:rsid w:val="00066CA9"/>
    <w:rsid w:val="000965BE"/>
    <w:rsid w:val="000B1231"/>
    <w:rsid w:val="000B144B"/>
    <w:rsid w:val="000B4E5F"/>
    <w:rsid w:val="000C06F5"/>
    <w:rsid w:val="000D2F7B"/>
    <w:rsid w:val="000D4BD3"/>
    <w:rsid w:val="001077AB"/>
    <w:rsid w:val="00114239"/>
    <w:rsid w:val="00114FE7"/>
    <w:rsid w:val="00117EAC"/>
    <w:rsid w:val="00123DCD"/>
    <w:rsid w:val="0012403A"/>
    <w:rsid w:val="001302F5"/>
    <w:rsid w:val="001554E3"/>
    <w:rsid w:val="001729CB"/>
    <w:rsid w:val="00172B0F"/>
    <w:rsid w:val="00172E78"/>
    <w:rsid w:val="00177816"/>
    <w:rsid w:val="00180389"/>
    <w:rsid w:val="00181C8E"/>
    <w:rsid w:val="00191C8D"/>
    <w:rsid w:val="001B6CBA"/>
    <w:rsid w:val="001B7D44"/>
    <w:rsid w:val="001C19EF"/>
    <w:rsid w:val="001D11C9"/>
    <w:rsid w:val="001D6163"/>
    <w:rsid w:val="001E294C"/>
    <w:rsid w:val="001F4528"/>
    <w:rsid w:val="001F5851"/>
    <w:rsid w:val="00204014"/>
    <w:rsid w:val="002124D1"/>
    <w:rsid w:val="002128C5"/>
    <w:rsid w:val="002179C3"/>
    <w:rsid w:val="00221816"/>
    <w:rsid w:val="002228FD"/>
    <w:rsid w:val="002235CC"/>
    <w:rsid w:val="00246644"/>
    <w:rsid w:val="00247D33"/>
    <w:rsid w:val="002526D5"/>
    <w:rsid w:val="00271FFB"/>
    <w:rsid w:val="00277575"/>
    <w:rsid w:val="00287681"/>
    <w:rsid w:val="002945A7"/>
    <w:rsid w:val="002971EA"/>
    <w:rsid w:val="002A01CF"/>
    <w:rsid w:val="002B161E"/>
    <w:rsid w:val="002B4678"/>
    <w:rsid w:val="002C143B"/>
    <w:rsid w:val="002C1504"/>
    <w:rsid w:val="002C4E9A"/>
    <w:rsid w:val="002D626D"/>
    <w:rsid w:val="002F45AC"/>
    <w:rsid w:val="00301FAF"/>
    <w:rsid w:val="0030406B"/>
    <w:rsid w:val="00305338"/>
    <w:rsid w:val="00315F81"/>
    <w:rsid w:val="00317E4A"/>
    <w:rsid w:val="00321140"/>
    <w:rsid w:val="0033058D"/>
    <w:rsid w:val="00331175"/>
    <w:rsid w:val="00333431"/>
    <w:rsid w:val="0034212A"/>
    <w:rsid w:val="00342B58"/>
    <w:rsid w:val="00351B0A"/>
    <w:rsid w:val="003525AA"/>
    <w:rsid w:val="00355DF6"/>
    <w:rsid w:val="00361476"/>
    <w:rsid w:val="00362A1D"/>
    <w:rsid w:val="00364DE3"/>
    <w:rsid w:val="00366BF0"/>
    <w:rsid w:val="003841B7"/>
    <w:rsid w:val="00384935"/>
    <w:rsid w:val="003A18DA"/>
    <w:rsid w:val="003B15DF"/>
    <w:rsid w:val="003B3134"/>
    <w:rsid w:val="003B359A"/>
    <w:rsid w:val="003B6A27"/>
    <w:rsid w:val="003B7058"/>
    <w:rsid w:val="003B7AB5"/>
    <w:rsid w:val="003C0186"/>
    <w:rsid w:val="003C14A7"/>
    <w:rsid w:val="003C62D3"/>
    <w:rsid w:val="003E3E7D"/>
    <w:rsid w:val="003E3EF3"/>
    <w:rsid w:val="003E5B6D"/>
    <w:rsid w:val="003E6258"/>
    <w:rsid w:val="003E6CF6"/>
    <w:rsid w:val="003F4286"/>
    <w:rsid w:val="0040438F"/>
    <w:rsid w:val="004146E5"/>
    <w:rsid w:val="004160AC"/>
    <w:rsid w:val="00427A61"/>
    <w:rsid w:val="00427ED7"/>
    <w:rsid w:val="0044265D"/>
    <w:rsid w:val="004540A0"/>
    <w:rsid w:val="004562FE"/>
    <w:rsid w:val="004617E2"/>
    <w:rsid w:val="004619C4"/>
    <w:rsid w:val="00475409"/>
    <w:rsid w:val="004835A2"/>
    <w:rsid w:val="00483D91"/>
    <w:rsid w:val="00485977"/>
    <w:rsid w:val="00486E59"/>
    <w:rsid w:val="0049241E"/>
    <w:rsid w:val="004A129D"/>
    <w:rsid w:val="004A1B7A"/>
    <w:rsid w:val="004A629D"/>
    <w:rsid w:val="004B49B7"/>
    <w:rsid w:val="004C112B"/>
    <w:rsid w:val="004C2102"/>
    <w:rsid w:val="004C58BA"/>
    <w:rsid w:val="004D54E2"/>
    <w:rsid w:val="004E1EBB"/>
    <w:rsid w:val="004E26ED"/>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75ECF"/>
    <w:rsid w:val="0058312D"/>
    <w:rsid w:val="00590554"/>
    <w:rsid w:val="005A28AF"/>
    <w:rsid w:val="005A5B8C"/>
    <w:rsid w:val="005B09F5"/>
    <w:rsid w:val="005B5060"/>
    <w:rsid w:val="005D0E19"/>
    <w:rsid w:val="005D1422"/>
    <w:rsid w:val="005E051C"/>
    <w:rsid w:val="005E146D"/>
    <w:rsid w:val="005E372E"/>
    <w:rsid w:val="005E3A54"/>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29BE"/>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C5007"/>
    <w:rsid w:val="008D2DEE"/>
    <w:rsid w:val="008D632A"/>
    <w:rsid w:val="008E3FA3"/>
    <w:rsid w:val="008E557E"/>
    <w:rsid w:val="008F202B"/>
    <w:rsid w:val="008F7FD9"/>
    <w:rsid w:val="0090017E"/>
    <w:rsid w:val="00900358"/>
    <w:rsid w:val="00900B50"/>
    <w:rsid w:val="0091333C"/>
    <w:rsid w:val="009157E0"/>
    <w:rsid w:val="00920784"/>
    <w:rsid w:val="0092243F"/>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0EA2"/>
    <w:rsid w:val="00A01FE1"/>
    <w:rsid w:val="00A04922"/>
    <w:rsid w:val="00A10562"/>
    <w:rsid w:val="00A215E4"/>
    <w:rsid w:val="00A3232E"/>
    <w:rsid w:val="00A33677"/>
    <w:rsid w:val="00A33F78"/>
    <w:rsid w:val="00A52C1C"/>
    <w:rsid w:val="00A60819"/>
    <w:rsid w:val="00A63413"/>
    <w:rsid w:val="00A8001A"/>
    <w:rsid w:val="00A964BB"/>
    <w:rsid w:val="00AA2891"/>
    <w:rsid w:val="00AB1EEB"/>
    <w:rsid w:val="00AB2FE6"/>
    <w:rsid w:val="00AB4BA5"/>
    <w:rsid w:val="00AC09EC"/>
    <w:rsid w:val="00AC31C2"/>
    <w:rsid w:val="00AC5083"/>
    <w:rsid w:val="00AC7C31"/>
    <w:rsid w:val="00AD2587"/>
    <w:rsid w:val="00AE0430"/>
    <w:rsid w:val="00AF3A47"/>
    <w:rsid w:val="00AF473E"/>
    <w:rsid w:val="00AF657A"/>
    <w:rsid w:val="00B02EA4"/>
    <w:rsid w:val="00B07742"/>
    <w:rsid w:val="00B10CFC"/>
    <w:rsid w:val="00B12E55"/>
    <w:rsid w:val="00B13666"/>
    <w:rsid w:val="00B2631D"/>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0AA1"/>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54106"/>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377BB"/>
    <w:rsid w:val="00E438C6"/>
    <w:rsid w:val="00E63BEC"/>
    <w:rsid w:val="00E71845"/>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388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4E6F"/>
    <w:rsid w:val="00F76319"/>
    <w:rsid w:val="00F822D7"/>
    <w:rsid w:val="00F83877"/>
    <w:rsid w:val="00F86EA9"/>
    <w:rsid w:val="00FA09D3"/>
    <w:rsid w:val="00FA0C9D"/>
    <w:rsid w:val="00FB3281"/>
    <w:rsid w:val="00FB6E32"/>
    <w:rsid w:val="00FD7714"/>
    <w:rsid w:val="00FE58FC"/>
    <w:rsid w:val="00FE770D"/>
    <w:rsid w:val="00FF156D"/>
    <w:rsid w:val="00FF3F7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DEA1C0-A656-4E0B-869F-E9C4E01B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601</Words>
  <Characters>3431</Characters>
  <Application>Microsoft Office Word</Application>
  <DocSecurity>0</DocSecurity>
  <Lines>28</Lines>
  <Paragraphs>8</Paragraphs>
  <ScaleCrop>false</ScaleCrop>
  <Company>CHINA</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95</cp:revision>
  <cp:lastPrinted>2020-08-18T02:33:00Z</cp:lastPrinted>
  <dcterms:created xsi:type="dcterms:W3CDTF">2022-09-15T06:00:00Z</dcterms:created>
  <dcterms:modified xsi:type="dcterms:W3CDTF">2025-05-30T08:37:00Z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